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09F" w:rsidRDefault="00F4709F" w:rsidP="00F4709F">
      <w:pPr>
        <w:pStyle w:val="corpo"/>
        <w:spacing w:before="0" w:after="0"/>
        <w:jc w:val="center"/>
        <w:rPr>
          <w:rFonts w:ascii="Arial" w:hAnsi="Arial" w:cs="Arial"/>
          <w:b/>
          <w:sz w:val="22"/>
          <w:szCs w:val="22"/>
        </w:rPr>
      </w:pPr>
      <w:r w:rsidRPr="00CF42E8">
        <w:rPr>
          <w:rFonts w:ascii="Century Gothic" w:hAnsi="Century Gothic" w:cs="Century Gothic"/>
          <w:b/>
          <w:bCs/>
          <w:noProof/>
          <w:sz w:val="40"/>
          <w:szCs w:val="40"/>
          <w:u w:val="single"/>
          <w:lang w:val="pt-BR" w:eastAsia="pt-BR"/>
        </w:rPr>
        <w:drawing>
          <wp:anchor distT="0" distB="0" distL="114300" distR="114300" simplePos="0" relativeHeight="251659264" behindDoc="0" locked="0" layoutInCell="1" allowOverlap="1" wp14:anchorId="0E1FDF71" wp14:editId="77CBA5D3">
            <wp:simplePos x="0" y="0"/>
            <wp:positionH relativeFrom="column">
              <wp:posOffset>-581025</wp:posOffset>
            </wp:positionH>
            <wp:positionV relativeFrom="paragraph">
              <wp:posOffset>0</wp:posOffset>
            </wp:positionV>
            <wp:extent cx="781050" cy="885825"/>
            <wp:effectExtent l="1905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09F" w:rsidRPr="00CF42E8" w:rsidRDefault="00F4709F" w:rsidP="00F4709F">
      <w:pPr>
        <w:widowControl w:val="0"/>
        <w:tabs>
          <w:tab w:val="center" w:pos="-2268"/>
          <w:tab w:val="center" w:pos="4252"/>
          <w:tab w:val="right" w:pos="8504"/>
        </w:tabs>
        <w:suppressAutoHyphens w:val="0"/>
        <w:autoSpaceDN w:val="0"/>
        <w:adjustRightInd w:val="0"/>
        <w:jc w:val="center"/>
        <w:rPr>
          <w:lang w:eastAsia="pt-BR"/>
        </w:rPr>
      </w:pPr>
      <w:r w:rsidRPr="00CF42E8">
        <w:rPr>
          <w:rFonts w:ascii="Century Gothic" w:hAnsi="Century Gothic" w:cs="Century Gothic"/>
          <w:b/>
          <w:bCs/>
          <w:sz w:val="40"/>
          <w:szCs w:val="40"/>
          <w:u w:val="single"/>
          <w:lang w:eastAsia="pt-BR"/>
        </w:rPr>
        <w:t>Prefeitura do Município de Jaguariúna</w:t>
      </w:r>
    </w:p>
    <w:p w:rsidR="00F4709F" w:rsidRPr="00CF42E8" w:rsidRDefault="00F4709F" w:rsidP="00F4709F">
      <w:pPr>
        <w:widowControl w:val="0"/>
        <w:tabs>
          <w:tab w:val="center" w:pos="-2268"/>
          <w:tab w:val="center" w:pos="4252"/>
          <w:tab w:val="right" w:pos="8504"/>
        </w:tabs>
        <w:suppressAutoHyphens w:val="0"/>
        <w:autoSpaceDN w:val="0"/>
        <w:adjustRightInd w:val="0"/>
        <w:jc w:val="center"/>
        <w:rPr>
          <w:b/>
          <w:bCs/>
          <w:sz w:val="16"/>
          <w:szCs w:val="16"/>
          <w:lang w:eastAsia="pt-BR"/>
        </w:rPr>
      </w:pPr>
      <w:r w:rsidRPr="00CF42E8">
        <w:rPr>
          <w:b/>
          <w:bCs/>
          <w:sz w:val="16"/>
          <w:szCs w:val="16"/>
          <w:lang w:eastAsia="pt-BR"/>
        </w:rPr>
        <w:t>Rua Alfredo Bueno, 1235 - Centro -Jaguariúna-SP - CEP 13910-027   CNPJ - 46.410.866/0001-71</w:t>
      </w:r>
    </w:p>
    <w:p w:rsidR="00F4709F" w:rsidRPr="00CF42E8" w:rsidRDefault="00F4709F" w:rsidP="00F4709F">
      <w:pPr>
        <w:widowControl w:val="0"/>
        <w:tabs>
          <w:tab w:val="center" w:pos="-2268"/>
          <w:tab w:val="center" w:pos="4252"/>
          <w:tab w:val="right" w:pos="8504"/>
        </w:tabs>
        <w:suppressAutoHyphens w:val="0"/>
        <w:autoSpaceDN w:val="0"/>
        <w:adjustRightInd w:val="0"/>
        <w:jc w:val="center"/>
        <w:rPr>
          <w:b/>
          <w:bCs/>
          <w:sz w:val="16"/>
          <w:szCs w:val="16"/>
          <w:lang w:eastAsia="pt-BR"/>
        </w:rPr>
      </w:pPr>
      <w:r w:rsidRPr="00CF42E8">
        <w:rPr>
          <w:b/>
          <w:bCs/>
          <w:sz w:val="16"/>
          <w:szCs w:val="16"/>
          <w:lang w:eastAsia="pt-BR"/>
        </w:rPr>
        <w:t>Departamento de Compras, Suprimentos e Qualidades</w:t>
      </w:r>
    </w:p>
    <w:p w:rsidR="00F4709F" w:rsidRDefault="00F4709F" w:rsidP="00F4709F">
      <w:pPr>
        <w:pStyle w:val="corpo"/>
        <w:spacing w:before="0" w:after="0"/>
        <w:jc w:val="center"/>
        <w:rPr>
          <w:rFonts w:ascii="Arial" w:hAnsi="Arial" w:cs="Arial"/>
          <w:b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center"/>
        <w:rPr>
          <w:rFonts w:ascii="Arial" w:hAnsi="Arial" w:cs="Arial"/>
          <w:b/>
          <w:sz w:val="22"/>
          <w:szCs w:val="22"/>
        </w:rPr>
      </w:pPr>
    </w:p>
    <w:p w:rsidR="00F4709F" w:rsidRPr="00C06C00" w:rsidRDefault="00F4709F" w:rsidP="00F4709F">
      <w:pPr>
        <w:pStyle w:val="corpo"/>
        <w:spacing w:before="0" w:after="0"/>
        <w:jc w:val="center"/>
        <w:rPr>
          <w:rFonts w:ascii="Arial" w:hAnsi="Arial" w:cs="Arial"/>
          <w:b/>
          <w:sz w:val="28"/>
          <w:szCs w:val="28"/>
          <w:lang w:val="pt-BR"/>
        </w:rPr>
      </w:pPr>
      <w:r>
        <w:rPr>
          <w:rFonts w:ascii="Arial" w:hAnsi="Arial" w:cs="Arial"/>
          <w:b/>
          <w:sz w:val="28"/>
          <w:szCs w:val="28"/>
          <w:lang w:val="pt-BR"/>
        </w:rPr>
        <w:t>ANEXO II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lang w:val="pt-BR"/>
        </w:rPr>
        <w:t>1</w:t>
      </w:r>
      <w:r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hAnsi="Arial" w:cs="Arial"/>
          <w:b/>
          <w:sz w:val="22"/>
          <w:szCs w:val="22"/>
          <w:u w:val="single"/>
        </w:rPr>
        <w:t>Habilitação Jurídica: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  <w:lang w:val="pt-BR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1.1-</w:t>
      </w:r>
      <w:r>
        <w:rPr>
          <w:rFonts w:ascii="Arial" w:hAnsi="Arial" w:cs="Arial"/>
          <w:sz w:val="22"/>
          <w:szCs w:val="22"/>
        </w:rPr>
        <w:t xml:space="preserve"> No caso de empresa individual: inscrição no Registro Público de Empresas Mercantis, a cargo da Junta Comercial da respectiva sede;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1.2--</w:t>
      </w:r>
      <w:r>
        <w:rPr>
          <w:rFonts w:ascii="Arial" w:hAnsi="Arial" w:cs="Arial"/>
          <w:sz w:val="22"/>
          <w:szCs w:val="22"/>
        </w:rPr>
        <w:t xml:space="preserve"> Em se tratando de microempreendedor individual –</w:t>
      </w:r>
      <w:r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MEI: Certificado da Condição de Microempreendedor Individual- CCMEI, cuja aceitação ficará condicionada à verificação da autenticidade no sítio </w:t>
      </w:r>
      <w:r>
        <w:rPr>
          <w:rFonts w:ascii="Arial" w:hAnsi="Arial" w:cs="Arial"/>
          <w:sz w:val="22"/>
          <w:szCs w:val="22"/>
          <w:u w:val="single"/>
        </w:rPr>
        <w:t>https://gov.br/empresas-e-negocios/pt-br/empreendedor</w:t>
      </w:r>
      <w:r>
        <w:rPr>
          <w:rFonts w:ascii="Arial" w:hAnsi="Arial" w:cs="Arial"/>
          <w:sz w:val="22"/>
          <w:szCs w:val="22"/>
        </w:rPr>
        <w:t>;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1.3-</w:t>
      </w:r>
      <w:r>
        <w:rPr>
          <w:rFonts w:ascii="Arial" w:hAnsi="Arial" w:cs="Arial"/>
          <w:sz w:val="22"/>
          <w:szCs w:val="22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 </w:t>
      </w:r>
    </w:p>
    <w:p w:rsidR="00F4709F" w:rsidRDefault="00F4709F" w:rsidP="00F4709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1.4</w:t>
      </w:r>
      <w:r>
        <w:rPr>
          <w:rFonts w:ascii="Arial" w:hAnsi="Arial" w:cs="Arial"/>
          <w:sz w:val="22"/>
          <w:szCs w:val="22"/>
        </w:rPr>
        <w:t xml:space="preserve"> Inscrição no Registro Público de Empresas Mercantis onde opera, com averbação no Registro onde tem a sede matriz, no caso de ser </w:t>
      </w:r>
      <w:proofErr w:type="gramStart"/>
      <w:r>
        <w:rPr>
          <w:rFonts w:ascii="Arial" w:hAnsi="Arial" w:cs="Arial"/>
          <w:sz w:val="22"/>
          <w:szCs w:val="22"/>
        </w:rPr>
        <w:t>o participante sucursal</w:t>
      </w:r>
      <w:proofErr w:type="gramEnd"/>
      <w:r>
        <w:rPr>
          <w:rFonts w:ascii="Arial" w:hAnsi="Arial" w:cs="Arial"/>
          <w:sz w:val="22"/>
          <w:szCs w:val="22"/>
        </w:rPr>
        <w:t>, filial ou agência;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1.5-</w:t>
      </w:r>
      <w:r>
        <w:rPr>
          <w:rFonts w:ascii="Arial" w:hAnsi="Arial" w:cs="Arial"/>
          <w:sz w:val="22"/>
          <w:szCs w:val="22"/>
        </w:rPr>
        <w:t xml:space="preserve"> No caso de sociedade simples: inscrição do ato constitutivo no Registro Civil das Pessoas Jurídicas do local de sua sede, acompanhada de prova da indicação dos seus administradores; 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1.6-</w:t>
      </w:r>
      <w:r>
        <w:rPr>
          <w:rFonts w:ascii="Arial" w:hAnsi="Arial" w:cs="Arial"/>
          <w:sz w:val="22"/>
          <w:szCs w:val="22"/>
        </w:rPr>
        <w:t xml:space="preserve"> Decreto de autorização, em se tratando de sociedade empresária estrangeira em funcionamento no país;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1.7-</w:t>
      </w:r>
      <w:r>
        <w:rPr>
          <w:rFonts w:ascii="Arial" w:hAnsi="Arial" w:cs="Arial"/>
          <w:sz w:val="22"/>
          <w:szCs w:val="22"/>
        </w:rPr>
        <w:t xml:space="preserve"> Os documentos de comprovação de habilitação jurídica acima elencados deverão estar acompanhados de todas as alterações que tenham sido realizadas e registradas perante o órgão competente, ou apresentar a última alteração realizada e registrada, desde que traga em seu bojo a consolidação da versão final do ato constitutivo.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lang w:val="pt-BR"/>
        </w:rPr>
        <w:t>2-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Regularidade Fiscal e Trabalhista: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2.1-</w:t>
      </w:r>
      <w:r>
        <w:rPr>
          <w:rFonts w:ascii="Arial" w:hAnsi="Arial" w:cs="Arial"/>
          <w:sz w:val="22"/>
          <w:szCs w:val="22"/>
        </w:rPr>
        <w:t xml:space="preserve"> Prova de inscrição no Cadastro Nacional de Pessoas Jurídicas; 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18"/>
          <w:szCs w:val="18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2.2-</w:t>
      </w:r>
      <w:r>
        <w:rPr>
          <w:rFonts w:ascii="Arial" w:hAnsi="Arial" w:cs="Arial"/>
          <w:sz w:val="22"/>
          <w:szCs w:val="22"/>
        </w:rPr>
        <w:t xml:space="preserve"> 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Nacional;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2.3</w:t>
      </w:r>
      <w:r>
        <w:rPr>
          <w:rFonts w:ascii="Arial" w:hAnsi="Arial" w:cs="Arial"/>
          <w:sz w:val="22"/>
          <w:szCs w:val="22"/>
        </w:rPr>
        <w:t xml:space="preserve">- Prova de regularidade com o Fundo de Garantia do Tempo de Serviço (FGTS); 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2.4-</w:t>
      </w:r>
      <w:r>
        <w:rPr>
          <w:rFonts w:ascii="Arial" w:hAnsi="Arial" w:cs="Arial"/>
          <w:sz w:val="22"/>
          <w:szCs w:val="22"/>
        </w:rPr>
        <w:t xml:space="preserve"> Prova de inexistência de débitos inadimplidos perante a Justiça do Trabalho, mediante a apresentação de certidão negativa ou positiva com efeito de negativa, nos termos do Título VII-A da Consolidação das Leis do Trabalho, aprovada pelo Decreto-Lei 5.452/1943; 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2.5-</w:t>
      </w:r>
      <w:r>
        <w:rPr>
          <w:rFonts w:ascii="Arial" w:hAnsi="Arial" w:cs="Arial"/>
          <w:sz w:val="22"/>
          <w:szCs w:val="22"/>
        </w:rPr>
        <w:t xml:space="preserve"> Prova de inscrição no cadastro de contribuintes municipal ou estadual, conforme o caso, relativo ao domicílio ou sede do licitante, pertinente ao seu ramo de atividade e compatível com o objeto contratual;</w:t>
      </w:r>
    </w:p>
    <w:p w:rsidR="00F4709F" w:rsidRDefault="00F4709F" w:rsidP="00F4709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2.6-</w:t>
      </w:r>
      <w:r>
        <w:rPr>
          <w:rFonts w:ascii="Arial" w:hAnsi="Arial" w:cs="Arial"/>
          <w:sz w:val="22"/>
          <w:szCs w:val="22"/>
        </w:rPr>
        <w:t xml:space="preserve"> Prova de regularidade com a Fazenda Estadual ou do Distrito Federal do domicílio/sede da licitante, abrangendo </w:t>
      </w:r>
      <w:r>
        <w:rPr>
          <w:rFonts w:ascii="Arial" w:hAnsi="Arial" w:cs="Arial"/>
          <w:sz w:val="22"/>
          <w:szCs w:val="22"/>
          <w:lang w:val="pt-BR"/>
        </w:rPr>
        <w:t>os</w:t>
      </w:r>
      <w:r>
        <w:rPr>
          <w:rFonts w:ascii="Arial" w:hAnsi="Arial" w:cs="Arial"/>
          <w:sz w:val="22"/>
          <w:szCs w:val="22"/>
        </w:rPr>
        <w:t xml:space="preserve"> débitos inscritos em dívida ativa;</w:t>
      </w:r>
    </w:p>
    <w:p w:rsidR="00F4709F" w:rsidRDefault="00F4709F" w:rsidP="00F4709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2.7-</w:t>
      </w:r>
      <w:r>
        <w:rPr>
          <w:rFonts w:ascii="Arial" w:hAnsi="Arial" w:cs="Arial"/>
          <w:sz w:val="22"/>
          <w:szCs w:val="22"/>
        </w:rPr>
        <w:t xml:space="preserve"> Prova de regularidade com a Fazenda Municipal do domicílio ou sede do licitante, relativa aos débitos mobiliários, abrangendo </w:t>
      </w:r>
      <w:r>
        <w:rPr>
          <w:rFonts w:ascii="Arial" w:hAnsi="Arial" w:cs="Arial"/>
          <w:sz w:val="22"/>
          <w:szCs w:val="22"/>
          <w:lang w:val="pt-BR"/>
        </w:rPr>
        <w:t>os</w:t>
      </w:r>
      <w:r>
        <w:rPr>
          <w:rFonts w:ascii="Arial" w:hAnsi="Arial" w:cs="Arial"/>
          <w:sz w:val="22"/>
          <w:szCs w:val="22"/>
        </w:rPr>
        <w:t xml:space="preserve"> débitos inscritos em dívida ativa;</w:t>
      </w:r>
    </w:p>
    <w:p w:rsidR="00F4709F" w:rsidRDefault="00F4709F" w:rsidP="00F4709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2.8-</w:t>
      </w:r>
      <w:r>
        <w:rPr>
          <w:rFonts w:ascii="Arial" w:hAnsi="Arial" w:cs="Arial"/>
          <w:sz w:val="22"/>
          <w:szCs w:val="22"/>
        </w:rPr>
        <w:t xml:space="preserve"> Caso o licitante seja considerado isento dos tributos estaduais ou municipais relacionados ao objeto licitatório, deverá comprovar tal condição mediante a apresentação de declaração da Fazenda Estadual ou da Fazenda Municipal do seu domicílio ou sede, ou outra equivalente, na forma da lei.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2.9-</w:t>
      </w:r>
      <w:r>
        <w:rPr>
          <w:rFonts w:ascii="Arial" w:hAnsi="Arial" w:cs="Arial"/>
          <w:sz w:val="22"/>
          <w:szCs w:val="22"/>
        </w:rPr>
        <w:t xml:space="preserve"> Caso o licitante detentor do menor preço seja microempresa, empresa de pequeno porte ou sociedade cooperativa equiparada deverá apresentar toda a documentação exigida para efeito de comprovação de regularidade fiscal e trabalhista, mesmo que esta apresente alguma restrição, sob pena de inabilitação.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2.10- Nesta hipótese, constatada a existência de alguma restrição no que tange à regularidade fiscal e/ou trabalhista, o licitante será convocado para, no prazo de 5 (cinco) dias úteis, contado da sua declaração como vencedor, comprovar a regularização. O prazo poderá ser prorrogado por igual período, a critério da administração pública, quando requerida pelo licitante, mediante apresentação de justificativa.</w:t>
      </w:r>
    </w:p>
    <w:p w:rsidR="00F4709F" w:rsidRDefault="00F4709F" w:rsidP="00F4709F">
      <w:pPr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2.11- A não-regularização fiscal ou trabalhista no prazo previsto no subitem anterior acarretará a inabilitação do licitante, sem prejuízo das sanções previstas neste Edital, com a reabertura da sessão pública, sendo facultada a convocação dos licitantes remanescentes, na ordem de classificação. </w:t>
      </w:r>
    </w:p>
    <w:p w:rsidR="00F4709F" w:rsidRDefault="00F4709F" w:rsidP="00F4709F">
      <w:pPr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t-BR"/>
        </w:rPr>
        <w:t>3-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Qualificação Econômico-Financeira: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3.1-</w:t>
      </w:r>
      <w:r>
        <w:rPr>
          <w:rFonts w:ascii="Arial" w:hAnsi="Arial" w:cs="Arial"/>
          <w:sz w:val="22"/>
          <w:szCs w:val="22"/>
        </w:rPr>
        <w:t xml:space="preserve"> Certidão negativa de falência, recuperação judicial ou recuperação extrajudicial, expedida pelo distribuidor da sede do licitante, expedida até 180 (cento e oitenta) dias antes da data de abertura da licitação;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3.2- Será admitida certidão eletrônica expedida pelo Tribunal de Justiça do Estado sede da licitante.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3.3-</w:t>
      </w:r>
      <w:r>
        <w:rPr>
          <w:rFonts w:ascii="Arial" w:hAnsi="Arial" w:cs="Arial"/>
          <w:sz w:val="22"/>
          <w:szCs w:val="22"/>
        </w:rPr>
        <w:t xml:space="preserve"> Caso a licitante esteja em recuperação judicial ou extrajudicial, deverá ser comprovado o acolhimento do plano de recuperação judicial ou a homologação do plano de recuperação extrajudicial, conforme o caso.</w:t>
      </w:r>
    </w:p>
    <w:p w:rsidR="00F4709F" w:rsidRDefault="00F4709F" w:rsidP="00F4709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F4709F" w:rsidRDefault="00F4709F" w:rsidP="00F4709F"/>
    <w:p w:rsidR="00E42E3F" w:rsidRDefault="00E42E3F">
      <w:bookmarkStart w:id="0" w:name="_GoBack"/>
      <w:bookmarkEnd w:id="0"/>
    </w:p>
    <w:sectPr w:rsidR="00E42E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9F"/>
    <w:rsid w:val="00E42E3F"/>
    <w:rsid w:val="00F4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51159-9469-4684-BAE3-209003BCC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0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Char">
    <w:name w:val="corpo Char"/>
    <w:link w:val="corpo"/>
    <w:locked/>
    <w:rsid w:val="00F4709F"/>
    <w:rPr>
      <w:sz w:val="24"/>
      <w:szCs w:val="24"/>
      <w:lang w:val="x-none" w:eastAsia="ar-SA"/>
    </w:rPr>
  </w:style>
  <w:style w:type="paragraph" w:customStyle="1" w:styleId="corpo">
    <w:name w:val="corpo"/>
    <w:basedOn w:val="Normal"/>
    <w:link w:val="corpoChar"/>
    <w:qFormat/>
    <w:rsid w:val="00F4709F"/>
    <w:pPr>
      <w:spacing w:before="280" w:after="280"/>
    </w:pPr>
    <w:rPr>
      <w:rFonts w:asciiTheme="minorHAnsi" w:eastAsiaTheme="minorHAnsi" w:hAnsiTheme="minorHAnsi" w:cstheme="minorBid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PMJ-COMPRAS</dc:creator>
  <cp:keywords/>
  <dc:description/>
  <cp:lastModifiedBy>PMJ-COMPRAS</cp:lastModifiedBy>
  <cp:revision>1</cp:revision>
  <dcterms:created xsi:type="dcterms:W3CDTF">2024-01-29T15:20:00Z</dcterms:created>
  <dcterms:modified xsi:type="dcterms:W3CDTF">2024-01-29T15:21:00Z</dcterms:modified>
</cp:coreProperties>
</file>